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B2" w:rsidRDefault="00240837">
      <w:pPr>
        <w:pStyle w:val="Zkladntext"/>
        <w:spacing w:before="16"/>
        <w:ind w:left="2228" w:right="2199"/>
        <w:jc w:val="center"/>
      </w:pPr>
      <w:r>
        <w:rPr>
          <w:color w:val="2D73B5"/>
          <w:spacing w:val="-2"/>
        </w:rPr>
        <w:t>Area</w:t>
      </w:r>
      <w:r>
        <w:rPr>
          <w:rFonts w:ascii="Times New Roman"/>
          <w:color w:val="2D73B5"/>
          <w:spacing w:val="-16"/>
        </w:rPr>
        <w:t xml:space="preserve"> </w:t>
      </w:r>
      <w:r>
        <w:rPr>
          <w:color w:val="2D73B5"/>
          <w:spacing w:val="-2"/>
        </w:rPr>
        <w:t>C:</w:t>
      </w:r>
      <w:r>
        <w:rPr>
          <w:rFonts w:ascii="Times New Roman"/>
          <w:color w:val="2D73B5"/>
          <w:spacing w:val="-17"/>
        </w:rPr>
        <w:t xml:space="preserve"> </w:t>
      </w:r>
      <w:r>
        <w:rPr>
          <w:color w:val="2D73B5"/>
          <w:spacing w:val="-2"/>
        </w:rPr>
        <w:t>ticket</w:t>
      </w:r>
      <w:r>
        <w:rPr>
          <w:rFonts w:ascii="Times New Roman"/>
          <w:color w:val="2D73B5"/>
          <w:spacing w:val="-18"/>
        </w:rPr>
        <w:t xml:space="preserve"> </w:t>
      </w:r>
      <w:r>
        <w:rPr>
          <w:color w:val="2D73B5"/>
          <w:spacing w:val="-2"/>
        </w:rPr>
        <w:t>in</w:t>
      </w:r>
      <w:r>
        <w:rPr>
          <w:rFonts w:ascii="Times New Roman"/>
          <w:color w:val="2D73B5"/>
          <w:spacing w:val="-16"/>
        </w:rPr>
        <w:t xml:space="preserve"> </w:t>
      </w:r>
      <w:r>
        <w:rPr>
          <w:color w:val="2D73B5"/>
          <w:spacing w:val="-2"/>
        </w:rPr>
        <w:t>vigore</w:t>
      </w:r>
      <w:r>
        <w:rPr>
          <w:rFonts w:ascii="Times New Roman"/>
          <w:color w:val="2D73B5"/>
          <w:spacing w:val="-16"/>
        </w:rPr>
        <w:t xml:space="preserve"> </w:t>
      </w:r>
      <w:r>
        <w:rPr>
          <w:color w:val="FF0000"/>
          <w:spacing w:val="-2"/>
        </w:rPr>
        <w:t>dal</w:t>
      </w:r>
      <w:r>
        <w:rPr>
          <w:rFonts w:ascii="Times New Roman"/>
          <w:color w:val="FF0000"/>
          <w:spacing w:val="-14"/>
        </w:rPr>
        <w:t xml:space="preserve"> </w:t>
      </w:r>
      <w:r>
        <w:rPr>
          <w:color w:val="FF0000"/>
          <w:spacing w:val="-2"/>
        </w:rPr>
        <w:t>30</w:t>
      </w:r>
      <w:r>
        <w:rPr>
          <w:rFonts w:ascii="Times New Roman"/>
          <w:color w:val="FF0000"/>
          <w:spacing w:val="-17"/>
        </w:rPr>
        <w:t xml:space="preserve"> </w:t>
      </w:r>
      <w:r>
        <w:rPr>
          <w:color w:val="FF0000"/>
          <w:spacing w:val="-2"/>
        </w:rPr>
        <w:t>ottobre</w:t>
      </w:r>
      <w:r>
        <w:rPr>
          <w:rFonts w:ascii="Times New Roman"/>
          <w:color w:val="FF0000"/>
          <w:spacing w:val="-18"/>
        </w:rPr>
        <w:t xml:space="preserve"> </w:t>
      </w:r>
      <w:r>
        <w:rPr>
          <w:color w:val="FF0000"/>
          <w:spacing w:val="-4"/>
        </w:rPr>
        <w:t>2023</w:t>
      </w:r>
    </w:p>
    <w:p w:rsidR="00C40AB2" w:rsidRDefault="00C40AB2">
      <w:pPr>
        <w:pStyle w:val="Zkladntext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662"/>
      </w:tblGrid>
      <w:tr w:rsidR="00C40AB2">
        <w:trPr>
          <w:trHeight w:val="412"/>
        </w:trPr>
        <w:tc>
          <w:tcPr>
            <w:tcW w:w="6941" w:type="dxa"/>
            <w:shd w:val="clear" w:color="auto" w:fill="D9E2F3"/>
          </w:tcPr>
          <w:p w:rsidR="00C40AB2" w:rsidRDefault="00240837">
            <w:pPr>
              <w:pStyle w:val="TableParagraph"/>
              <w:ind w:left="3004" w:right="29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Tipologia</w:t>
            </w:r>
          </w:p>
        </w:tc>
        <w:tc>
          <w:tcPr>
            <w:tcW w:w="2662" w:type="dxa"/>
            <w:shd w:val="clear" w:color="auto" w:fill="D9E2F3"/>
          </w:tcPr>
          <w:p w:rsidR="00C40AB2" w:rsidRDefault="00240837">
            <w:pPr>
              <w:pStyle w:val="TableParagraph"/>
              <w:ind w:left="968" w:right="10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Costo</w:t>
            </w:r>
          </w:p>
        </w:tc>
      </w:tr>
      <w:tr w:rsidR="00C40AB2">
        <w:trPr>
          <w:trHeight w:val="412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Tutti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veicoli</w:t>
            </w:r>
          </w:p>
          <w:p w:rsidR="005D654F" w:rsidRDefault="005D654F" w:rsidP="005D654F">
            <w:pPr>
              <w:pStyle w:val="TableParagraph"/>
              <w:rPr>
                <w:b/>
                <w:sz w:val="24"/>
              </w:rPr>
            </w:pPr>
            <w:r w:rsidRPr="005D654F">
              <w:rPr>
                <w:i/>
                <w:color w:val="0070C0"/>
                <w:spacing w:val="-2"/>
                <w:sz w:val="20"/>
                <w:szCs w:val="20"/>
              </w:rPr>
              <w:t>Auta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7,50</w:t>
            </w:r>
          </w:p>
        </w:tc>
      </w:tr>
      <w:tr w:rsidR="00C40AB2">
        <w:trPr>
          <w:trHeight w:val="705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proprietà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residenti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(ed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assimilati)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all’interno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C</w:t>
            </w:r>
          </w:p>
          <w:p w:rsidR="00C40AB2" w:rsidRDefault="00240837">
            <w:pPr>
              <w:pStyle w:val="TableParagraph"/>
              <w:spacing w:before="0"/>
              <w:rPr>
                <w:spacing w:val="-2"/>
                <w:sz w:val="24"/>
              </w:rPr>
            </w:pPr>
            <w:r>
              <w:rPr>
                <w:sz w:val="24"/>
              </w:rPr>
              <w:t>previa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registrazione</w:t>
            </w:r>
          </w:p>
          <w:p w:rsidR="005D654F" w:rsidRPr="005D654F" w:rsidRDefault="001B6B9B" w:rsidP="001B6B9B">
            <w:pPr>
              <w:pStyle w:val="TableParagraph"/>
              <w:spacing w:before="0"/>
              <w:rPr>
                <w:i/>
                <w:sz w:val="20"/>
                <w:szCs w:val="20"/>
              </w:rPr>
            </w:pPr>
            <w:r>
              <w:rPr>
                <w:i/>
                <w:color w:val="0070C0"/>
                <w:spacing w:val="-2"/>
                <w:sz w:val="20"/>
                <w:szCs w:val="20"/>
              </w:rPr>
              <w:t>V</w:t>
            </w:r>
            <w:bookmarkStart w:id="0" w:name="_GoBack"/>
            <w:bookmarkEnd w:id="0"/>
            <w:r w:rsidR="005D654F" w:rsidRPr="005D654F">
              <w:rPr>
                <w:i/>
                <w:color w:val="0070C0"/>
                <w:spacing w:val="-2"/>
                <w:sz w:val="20"/>
                <w:szCs w:val="20"/>
              </w:rPr>
              <w:t>ozidla rezidentů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3,00</w:t>
            </w:r>
          </w:p>
          <w:p w:rsidR="00C40AB2" w:rsidRDefault="00240837">
            <w:pPr>
              <w:pStyle w:val="TableParagraph"/>
              <w:spacing w:before="2"/>
              <w:ind w:left="20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51°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accesso/anno</w:t>
            </w:r>
          </w:p>
        </w:tc>
      </w:tr>
      <w:tr w:rsidR="00C40AB2">
        <w:trPr>
          <w:trHeight w:val="414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“di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servizio”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registrazione</w:t>
            </w:r>
          </w:p>
          <w:p w:rsidR="005D654F" w:rsidRDefault="005D654F">
            <w:pPr>
              <w:pStyle w:val="TableParagraph"/>
              <w:rPr>
                <w:sz w:val="24"/>
              </w:rPr>
            </w:pPr>
            <w:r w:rsidRPr="005D654F">
              <w:rPr>
                <w:i/>
                <w:color w:val="0070C0"/>
                <w:spacing w:val="-2"/>
                <w:sz w:val="20"/>
                <w:szCs w:val="20"/>
              </w:rPr>
              <w:t>Vozidla servisních služeb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4,50</w:t>
            </w:r>
          </w:p>
        </w:tc>
      </w:tr>
      <w:tr w:rsidR="00C40AB2">
        <w:trPr>
          <w:trHeight w:val="469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sosta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presso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autorimesse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C</w:t>
            </w:r>
            <w:r w:rsidR="005D654F">
              <w:rPr>
                <w:b/>
                <w:spacing w:val="-10"/>
                <w:sz w:val="24"/>
              </w:rPr>
              <w:br/>
            </w:r>
            <w:r w:rsidR="005D654F" w:rsidRPr="005D654F">
              <w:rPr>
                <w:i/>
                <w:color w:val="0070C0"/>
                <w:spacing w:val="-2"/>
                <w:sz w:val="20"/>
                <w:szCs w:val="20"/>
              </w:rPr>
              <w:t>Vozidla parkující v garážích na území oblasti C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4,50</w:t>
            </w:r>
          </w:p>
        </w:tc>
      </w:tr>
      <w:tr w:rsidR="00C40AB2">
        <w:trPr>
          <w:trHeight w:val="1290"/>
        </w:trPr>
        <w:tc>
          <w:tcPr>
            <w:tcW w:w="6941" w:type="dxa"/>
          </w:tcPr>
          <w:p w:rsidR="00C40AB2" w:rsidRDefault="00240837" w:rsidP="005D654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Tutti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veicoli,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eccezione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NCC,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rispettiva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somma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24:00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successivo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all’accesso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entro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24:00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settimo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successivo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avvenuto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l’accesso</w:t>
            </w:r>
            <w:r w:rsidR="005D654F">
              <w:rPr>
                <w:sz w:val="24"/>
              </w:rPr>
              <w:br/>
            </w:r>
            <w:r w:rsidR="005D654F" w:rsidRPr="005D654F">
              <w:rPr>
                <w:i/>
                <w:color w:val="0070C0"/>
                <w:spacing w:val="-2"/>
                <w:sz w:val="20"/>
                <w:szCs w:val="20"/>
              </w:rPr>
              <w:t xml:space="preserve">Zpětná úhrada poplatku za auta, do 7 dnů ode dne vjezdu do oblasti. 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22,50</w:t>
            </w:r>
          </w:p>
        </w:tc>
      </w:tr>
      <w:tr w:rsidR="00C40AB2">
        <w:trPr>
          <w:trHeight w:val="707"/>
        </w:trPr>
        <w:tc>
          <w:tcPr>
            <w:tcW w:w="6941" w:type="dxa"/>
          </w:tcPr>
          <w:p w:rsidR="00C40AB2" w:rsidRDefault="00240837" w:rsidP="005D654F">
            <w:pPr>
              <w:pStyle w:val="TableParagraph"/>
              <w:spacing w:before="61"/>
              <w:ind w:right="3097"/>
              <w:rPr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NCC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superiori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posti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8,00</w:t>
            </w:r>
            <w:r w:rsidR="005D654F">
              <w:rPr>
                <w:sz w:val="24"/>
              </w:rPr>
              <w:br/>
            </w:r>
            <w:r w:rsidR="005D654F" w:rsidRPr="005D654F">
              <w:rPr>
                <w:i/>
                <w:color w:val="0070C0"/>
                <w:spacing w:val="-2"/>
                <w:sz w:val="20"/>
                <w:szCs w:val="20"/>
              </w:rPr>
              <w:t>Vozidla s více než 9 místy k sezení a délkou do 8,00 m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spacing w:before="61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60,00</w:t>
            </w:r>
          </w:p>
        </w:tc>
      </w:tr>
      <w:tr w:rsidR="00C40AB2">
        <w:trPr>
          <w:trHeight w:val="705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NCC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superiori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posti</w:t>
            </w:r>
          </w:p>
          <w:p w:rsidR="00C40AB2" w:rsidRDefault="00240837" w:rsidP="005D654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8,01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10,50</w:t>
            </w:r>
            <w:r w:rsidR="005D654F">
              <w:rPr>
                <w:spacing w:val="-4"/>
                <w:sz w:val="24"/>
              </w:rPr>
              <w:br/>
            </w:r>
            <w:r w:rsidR="005D654F" w:rsidRPr="005D654F">
              <w:rPr>
                <w:i/>
                <w:color w:val="0070C0"/>
                <w:spacing w:val="-2"/>
                <w:sz w:val="20"/>
                <w:szCs w:val="20"/>
              </w:rPr>
              <w:t>Vozidla s více než 9 místy k sezení a délkou 8,01 – 10,50 m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97,50</w:t>
            </w:r>
          </w:p>
        </w:tc>
      </w:tr>
      <w:tr w:rsidR="00C40AB2">
        <w:trPr>
          <w:trHeight w:val="705"/>
        </w:trPr>
        <w:tc>
          <w:tcPr>
            <w:tcW w:w="6941" w:type="dxa"/>
          </w:tcPr>
          <w:p w:rsidR="00C40AB2" w:rsidRDefault="00240837" w:rsidP="005D654F">
            <w:pPr>
              <w:pStyle w:val="TableParagraph"/>
              <w:ind w:right="3097"/>
              <w:rPr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b/>
                <w:sz w:val="24"/>
              </w:rPr>
              <w:t>NCC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superiori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posti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10,50</w:t>
            </w:r>
            <w:r w:rsidR="005D654F">
              <w:rPr>
                <w:sz w:val="24"/>
              </w:rPr>
              <w:br/>
            </w:r>
            <w:r w:rsidR="005D654F" w:rsidRPr="005D654F">
              <w:rPr>
                <w:i/>
                <w:color w:val="0070C0"/>
                <w:spacing w:val="-2"/>
                <w:sz w:val="20"/>
                <w:szCs w:val="20"/>
              </w:rPr>
              <w:t>Vozidla s více než 9 místy k sezení a délkou nad 10,50 m.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150,00</w:t>
            </w:r>
          </w:p>
        </w:tc>
      </w:tr>
      <w:tr w:rsidR="009174C8" w:rsidTr="009174C8">
        <w:trPr>
          <w:trHeight w:val="494"/>
        </w:trPr>
        <w:tc>
          <w:tcPr>
            <w:tcW w:w="9603" w:type="dxa"/>
            <w:gridSpan w:val="2"/>
          </w:tcPr>
          <w:p w:rsidR="009174C8" w:rsidRDefault="009174C8" w:rsidP="009174C8">
            <w:pPr>
              <w:pStyle w:val="TableParagraph"/>
              <w:ind w:left="0" w:right="229"/>
              <w:jc w:val="center"/>
              <w:rPr>
                <w:sz w:val="24"/>
              </w:rPr>
            </w:pPr>
            <w:r w:rsidRPr="009174C8">
              <w:rPr>
                <w:i/>
                <w:color w:val="0070C0"/>
                <w:spacing w:val="-2"/>
                <w:sz w:val="20"/>
                <w:szCs w:val="20"/>
              </w:rPr>
              <w:t>Přepravy žáků a studentů:</w:t>
            </w:r>
          </w:p>
        </w:tc>
      </w:tr>
      <w:tr w:rsidR="00C40AB2">
        <w:trPr>
          <w:trHeight w:val="2524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NCC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superiori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posti</w:t>
            </w:r>
          </w:p>
          <w:p w:rsidR="00C40AB2" w:rsidRDefault="00240837">
            <w:pPr>
              <w:pStyle w:val="TableParagraph"/>
              <w:spacing w:before="2"/>
              <w:ind w:right="134"/>
              <w:rPr>
                <w:sz w:val="24"/>
              </w:rPr>
            </w:pPr>
            <w:r>
              <w:rPr>
                <w:sz w:val="24"/>
              </w:rPr>
              <w:t>dedicati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inferiori,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didattiche,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viaggi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d’istruzione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destinazione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città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Milano.</w:t>
            </w:r>
          </w:p>
          <w:p w:rsidR="00C40AB2" w:rsidRDefault="00240837" w:rsidP="009174C8">
            <w:pPr>
              <w:pStyle w:val="TableParagraph"/>
              <w:spacing w:before="60"/>
              <w:ind w:right="134"/>
              <w:rPr>
                <w:sz w:val="24"/>
              </w:rPr>
            </w:pPr>
            <w:r>
              <w:rPr>
                <w:sz w:val="24"/>
              </w:rPr>
              <w:t>Tale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somma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altresì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riconosciuta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medesimi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veicoli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dedicati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scuole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secondarie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inferiori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all’interno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ZTL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didattiche,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viaggi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d’istruzione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esterni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7,50</w:t>
            </w:r>
          </w:p>
        </w:tc>
      </w:tr>
      <w:tr w:rsidR="00C40AB2">
        <w:trPr>
          <w:trHeight w:val="1878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NCC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superiori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posti</w:t>
            </w:r>
          </w:p>
          <w:p w:rsidR="00C40AB2" w:rsidRDefault="00240837">
            <w:pPr>
              <w:pStyle w:val="TableParagraph"/>
              <w:spacing w:before="0"/>
              <w:ind w:right="134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8,00,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dedicati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esclusivamente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inferiori,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tragitto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stessa,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partenza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destinazione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risulti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ZTL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Cerchia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Bastioni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22,50</w:t>
            </w:r>
          </w:p>
        </w:tc>
      </w:tr>
      <w:tr w:rsidR="00C40AB2">
        <w:trPr>
          <w:trHeight w:val="1876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Veicoli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NCC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superiori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posti</w:t>
            </w:r>
          </w:p>
          <w:p w:rsidR="00C40AB2" w:rsidRDefault="002408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8,01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10,50,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dedicati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esclusivamente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inferiori,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tragitto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stessa,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partenza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destinazione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risulti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ZTL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Cerchia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Bastioni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37,50</w:t>
            </w:r>
          </w:p>
        </w:tc>
      </w:tr>
      <w:tr w:rsidR="00C40AB2">
        <w:trPr>
          <w:trHeight w:val="1878"/>
        </w:trPr>
        <w:tc>
          <w:tcPr>
            <w:tcW w:w="6941" w:type="dxa"/>
          </w:tcPr>
          <w:p w:rsidR="00C40AB2" w:rsidRDefault="0024083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Veicoli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NCC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superiori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posti</w:t>
            </w:r>
          </w:p>
          <w:p w:rsidR="00C40AB2" w:rsidRDefault="0024083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mt.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10,50,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dedicati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esclusivamente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primo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inferiori,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tragitto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casa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luoghi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connessi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stessa,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partenza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destinazione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risulti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ZTL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Cerchia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Bastioni</w:t>
            </w:r>
          </w:p>
        </w:tc>
        <w:tc>
          <w:tcPr>
            <w:tcW w:w="2662" w:type="dxa"/>
          </w:tcPr>
          <w:p w:rsidR="00C40AB2" w:rsidRDefault="00240837"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60,00</w:t>
            </w:r>
          </w:p>
        </w:tc>
      </w:tr>
    </w:tbl>
    <w:p w:rsidR="00240837" w:rsidRDefault="00240837"/>
    <w:sectPr w:rsidR="00240837">
      <w:type w:val="continuous"/>
      <w:pgSz w:w="11900" w:h="16840"/>
      <w:pgMar w:top="98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B2"/>
    <w:rsid w:val="001B6B9B"/>
    <w:rsid w:val="00240837"/>
    <w:rsid w:val="005D654F"/>
    <w:rsid w:val="009174C8"/>
    <w:rsid w:val="00C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1373"/>
  <w15:docId w15:val="{4E2D997C-F16D-432D-B710-BC8D9739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"/>
    </w:pPr>
    <w:rPr>
      <w:rFonts w:ascii="Calibri Light" w:eastAsia="Calibri Light" w:hAnsi="Calibri Light" w:cs="Calibri Light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9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Area C.url.docx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Area C.url.docx</dc:title>
  <dc:creator>gabriele.polillo</dc:creator>
  <cp:lastModifiedBy>Martina Dacko</cp:lastModifiedBy>
  <cp:revision>3</cp:revision>
  <dcterms:created xsi:type="dcterms:W3CDTF">2023-10-09T12:43:00Z</dcterms:created>
  <dcterms:modified xsi:type="dcterms:W3CDTF">2023-10-09T12:46:00Z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9.27</vt:lpwstr>
  </property>
</Properties>
</file>